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60" w:rsidRPr="003C0D60" w:rsidRDefault="003C0D60" w:rsidP="004502F6">
      <w:pPr>
        <w:rPr>
          <w:u w:val="single"/>
        </w:rPr>
      </w:pPr>
      <w:r w:rsidRPr="003C0D60">
        <w:rPr>
          <w:u w:val="single"/>
        </w:rPr>
        <w:t>Přiřaď odpovědi k otázkám:</w:t>
      </w:r>
    </w:p>
    <w:p w:rsidR="004502F6" w:rsidRPr="003C0D60" w:rsidRDefault="004502F6" w:rsidP="004502F6">
      <w:pPr>
        <w:pStyle w:val="Odstavecseseznamem"/>
        <w:numPr>
          <w:ilvl w:val="0"/>
          <w:numId w:val="1"/>
        </w:numPr>
        <w:rPr>
          <w:i/>
        </w:rPr>
      </w:pPr>
      <w:r w:rsidRPr="003C0D60">
        <w:rPr>
          <w:i/>
        </w:rPr>
        <w:t>Jak striktní – shovívavá je imigrační politika ČR? Jaké procento žádostí je schváleno?</w:t>
      </w:r>
    </w:p>
    <w:p w:rsidR="004502F6" w:rsidRPr="003C0D60" w:rsidRDefault="004502F6" w:rsidP="004502F6">
      <w:pPr>
        <w:pStyle w:val="Odstavecseseznamem"/>
        <w:numPr>
          <w:ilvl w:val="0"/>
          <w:numId w:val="1"/>
        </w:numPr>
        <w:rPr>
          <w:i/>
        </w:rPr>
      </w:pPr>
      <w:r w:rsidRPr="003C0D60">
        <w:rPr>
          <w:i/>
        </w:rPr>
        <w:t xml:space="preserve">Víte, kolik je zhruba úspěšných žádostí v jednom kalendářním roce? </w:t>
      </w:r>
    </w:p>
    <w:p w:rsidR="004502F6" w:rsidRPr="003C0D60" w:rsidRDefault="004502F6" w:rsidP="004502F6">
      <w:pPr>
        <w:pStyle w:val="Odstavecseseznamem"/>
        <w:numPr>
          <w:ilvl w:val="0"/>
          <w:numId w:val="1"/>
        </w:numPr>
        <w:rPr>
          <w:i/>
        </w:rPr>
      </w:pPr>
      <w:r w:rsidRPr="003C0D60">
        <w:rPr>
          <w:i/>
        </w:rPr>
        <w:t>Kde jsou žadatelé o azyl ubytováni?</w:t>
      </w:r>
    </w:p>
    <w:p w:rsidR="004502F6" w:rsidRPr="003C0D60" w:rsidRDefault="009735D9" w:rsidP="004502F6">
      <w:pPr>
        <w:pStyle w:val="Odstavecseseznamem"/>
        <w:numPr>
          <w:ilvl w:val="0"/>
          <w:numId w:val="1"/>
        </w:numPr>
        <w:rPr>
          <w:i/>
        </w:rPr>
      </w:pPr>
      <w:r w:rsidRPr="003C0D60">
        <w:rPr>
          <w:i/>
        </w:rPr>
        <w:t>Jaké jsou náklady na provoz ubytovacích zařízení?</w:t>
      </w:r>
    </w:p>
    <w:p w:rsidR="009735D9" w:rsidRPr="003C0D60" w:rsidRDefault="009735D9" w:rsidP="004502F6">
      <w:pPr>
        <w:pStyle w:val="Odstavecseseznamem"/>
        <w:numPr>
          <w:ilvl w:val="0"/>
          <w:numId w:val="1"/>
        </w:numPr>
        <w:rPr>
          <w:i/>
        </w:rPr>
      </w:pPr>
      <w:r w:rsidRPr="003C0D60">
        <w:rPr>
          <w:i/>
        </w:rPr>
        <w:t>Jaké mohou být další náklady spojené s imigranty na území ČR?</w:t>
      </w:r>
    </w:p>
    <w:p w:rsidR="009735D9" w:rsidRDefault="009735D9" w:rsidP="004502F6">
      <w:r>
        <w:t>A. V roce 2013 činily náklady na provoz pobytových zařízení pro uprchlíky 230 milionů Kč, v případě navýšení počtu migrantů by se (nejen) tyto náklady zvýšily.</w:t>
      </w:r>
    </w:p>
    <w:p w:rsidR="004502F6" w:rsidRDefault="009735D9" w:rsidP="004502F6">
      <w:r>
        <w:t>B</w:t>
      </w:r>
      <w:r w:rsidR="004502F6">
        <w:t xml:space="preserve">. Číslo se pohybuje mezi 100 – 400 úspěšnými žadateli. Jaká </w:t>
      </w:r>
      <w:proofErr w:type="gramStart"/>
      <w:r w:rsidR="004502F6">
        <w:t>je</w:t>
      </w:r>
      <w:proofErr w:type="gramEnd"/>
      <w:r w:rsidR="004502F6">
        <w:t xml:space="preserve"> to část z celkového počtu žádostí je znázorněno v grafu.</w:t>
      </w:r>
    </w:p>
    <w:p w:rsidR="009735D9" w:rsidRDefault="009735D9" w:rsidP="004502F6">
      <w:r>
        <w:t xml:space="preserve">C. Do finanční pomoci žadatelům o azyl patří i dotace většinou neziskovým organizacím zajišťujícím právní pomoc a pomoc se začleněním – např. bezplatná výuka češtiny, další vzdělávání, pomoc při hledání práce a bydlení. </w:t>
      </w:r>
    </w:p>
    <w:p w:rsidR="004502F6" w:rsidRDefault="009735D9" w:rsidP="004502F6">
      <w:r>
        <w:t>D</w:t>
      </w:r>
      <w:r w:rsidR="004502F6">
        <w:t xml:space="preserve">. Česká imigrační politika je velice přísná. Na schválení žádosti nemají nárok ekonomičtí migranti a ani ti, kteří do Česka přišli přes zemi, která je považována za bezpečnou. Počet schválených žádostí se pohybuje zhruba mezi 10 – 20 % ze všech podaných žádostí. </w:t>
      </w:r>
    </w:p>
    <w:p w:rsidR="00D97AED" w:rsidRDefault="009735D9">
      <w:r>
        <w:t>E</w:t>
      </w:r>
      <w:r w:rsidR="004502F6">
        <w:t>. Žadatelé o azyl mohou projít tímto systémem ubytovacích zařízení, nemusejí ale využít všechny stupně pomoci: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5000"/>
      </w:tblGrid>
      <w:tr w:rsidR="004502F6" w:rsidTr="003C0D60">
        <w:tc>
          <w:tcPr>
            <w:tcW w:w="4606" w:type="dxa"/>
          </w:tcPr>
          <w:p w:rsidR="000A1F44" w:rsidRDefault="00047704">
            <w:r>
              <w:rPr>
                <w:b/>
              </w:rPr>
              <w:t>Zařízení pro zajištění cizinců</w:t>
            </w:r>
            <w:r w:rsidR="000A1F44">
              <w:rPr>
                <w:b/>
              </w:rPr>
              <w:t xml:space="preserve"> (ZZC)</w:t>
            </w:r>
            <w:r>
              <w:t xml:space="preserve">: </w:t>
            </w:r>
          </w:p>
          <w:p w:rsidR="004502F6" w:rsidRDefault="00047704">
            <w:r>
              <w:t xml:space="preserve">nedobrovolný pobyt, cizinecká policie sem umísťuje nelegální migranty čekající na vyhoštění z Česka; jedno středisko (Bělá pod Bezdězem), </w:t>
            </w:r>
            <w:r w:rsidRPr="002B6E70">
              <w:rPr>
                <w:b/>
              </w:rPr>
              <w:t>270 míst</w:t>
            </w:r>
          </w:p>
        </w:tc>
        <w:tc>
          <w:tcPr>
            <w:tcW w:w="5000" w:type="dxa"/>
          </w:tcPr>
          <w:p w:rsidR="00047704" w:rsidRDefault="00047704">
            <w:r w:rsidRPr="00047704">
              <w:rPr>
                <w:b/>
              </w:rPr>
              <w:t>Přijímací střediska</w:t>
            </w:r>
            <w:r>
              <w:t xml:space="preserve">: </w:t>
            </w:r>
          </w:p>
          <w:p w:rsidR="004502F6" w:rsidRDefault="00047704">
            <w:r>
              <w:t xml:space="preserve">ubytování nově příchozí po dobu zjišťování totožnost, vstupních pohovorů, zdravotních prohlídek; nyní jsou dvě, </w:t>
            </w:r>
            <w:r w:rsidRPr="00047704">
              <w:rPr>
                <w:b/>
              </w:rPr>
              <w:t>kapacita 250 lůžek</w:t>
            </w:r>
            <w:r>
              <w:t>, zákaz opouštět středisko, tato zařízení by zažila největší nápor v případě záměru zvýšit počet imigrantů</w:t>
            </w:r>
          </w:p>
        </w:tc>
      </w:tr>
      <w:tr w:rsidR="004502F6" w:rsidTr="003C0D60">
        <w:tc>
          <w:tcPr>
            <w:tcW w:w="4606" w:type="dxa"/>
          </w:tcPr>
          <w:p w:rsidR="000A1F44" w:rsidRDefault="00047704">
            <w:r w:rsidRPr="002D6FD8">
              <w:rPr>
                <w:b/>
              </w:rPr>
              <w:t>Integrační azylová střediska</w:t>
            </w:r>
            <w:r>
              <w:t xml:space="preserve">: </w:t>
            </w:r>
          </w:p>
          <w:p w:rsidR="004502F6" w:rsidRDefault="00047704">
            <w:r>
              <w:t xml:space="preserve">zde úspěšní žadatelé mohou (ale nemusí) strávit až rok a půl, pokračovat ve studiu češtiny a hledat si práci; jsou čtyři, </w:t>
            </w:r>
            <w:r w:rsidRPr="002B6E70">
              <w:rPr>
                <w:b/>
              </w:rPr>
              <w:t>kapacita 250 lidí</w:t>
            </w:r>
          </w:p>
        </w:tc>
        <w:tc>
          <w:tcPr>
            <w:tcW w:w="5000" w:type="dxa"/>
          </w:tcPr>
          <w:p w:rsidR="000A1F44" w:rsidRDefault="00047704">
            <w:r w:rsidRPr="002D6FD8">
              <w:rPr>
                <w:b/>
              </w:rPr>
              <w:t>Pobytová střediska</w:t>
            </w:r>
            <w:r>
              <w:t xml:space="preserve">: </w:t>
            </w:r>
          </w:p>
          <w:p w:rsidR="004502F6" w:rsidRDefault="00047704">
            <w:r>
              <w:t xml:space="preserve">ubytování až do vyřízení žádosti, je možné je opouštět; k dispozici knihovna, hřiště, kurzy češtiny…; nyní jsou dvě, </w:t>
            </w:r>
            <w:r w:rsidRPr="002B6E70">
              <w:rPr>
                <w:b/>
              </w:rPr>
              <w:t xml:space="preserve">kapacita 420 </w:t>
            </w:r>
            <w:r>
              <w:rPr>
                <w:b/>
              </w:rPr>
              <w:t>lůžek</w:t>
            </w:r>
            <w:r>
              <w:t>; v případě neuznání žádosti se obyvatelé vrací do státu, ze kterého přišli</w:t>
            </w:r>
          </w:p>
        </w:tc>
      </w:tr>
    </w:tbl>
    <w:p w:rsidR="004502F6" w:rsidRDefault="004502F6"/>
    <w:p w:rsidR="001E3D0F" w:rsidRPr="004A72B7" w:rsidRDefault="003C0D60">
      <w:pPr>
        <w:rPr>
          <w:u w:val="single"/>
        </w:rPr>
      </w:pPr>
      <w:r>
        <w:rPr>
          <w:u w:val="single"/>
        </w:rPr>
        <w:t xml:space="preserve">Doplň chybějící </w:t>
      </w:r>
      <w:proofErr w:type="gramStart"/>
      <w:r>
        <w:rPr>
          <w:u w:val="single"/>
        </w:rPr>
        <w:t>pojmy</w:t>
      </w:r>
      <w:r w:rsidR="004A72B7" w:rsidRPr="003C0D60">
        <w:t>:</w:t>
      </w:r>
      <w:r w:rsidRPr="003C0D60">
        <w:t xml:space="preserve"> </w:t>
      </w:r>
      <w:r>
        <w:t xml:space="preserve"> </w:t>
      </w:r>
      <w:r w:rsidRPr="003C0D60">
        <w:rPr>
          <w:b/>
        </w:rPr>
        <w:t>až</w:t>
      </w:r>
      <w:proofErr w:type="gramEnd"/>
      <w:r w:rsidRPr="003C0D60">
        <w:rPr>
          <w:b/>
        </w:rPr>
        <w:t xml:space="preserve"> 330 000 cizinců, českého občanství, podporu v nezaměstnanosti, nárok na důchod v ČR, pojistné na sociální zabezpečení</w:t>
      </w:r>
    </w:p>
    <w:p w:rsidR="003C0D60" w:rsidRDefault="003C0D60" w:rsidP="003C0D60">
      <w:r>
        <w:t>Na ………………………………………………………………</w:t>
      </w:r>
      <w:proofErr w:type="gramStart"/>
      <w:r>
        <w:t>….. mají</w:t>
      </w:r>
      <w:proofErr w:type="gramEnd"/>
      <w:r>
        <w:t xml:space="preserve"> nárok cizinci s trvalým pobytem, uděleným azylem nebo doplňkovou ochranou v ČR za stejných podmínek, jako občané ČR. </w:t>
      </w:r>
    </w:p>
    <w:p w:rsidR="003C0D60" w:rsidRDefault="003C0D60" w:rsidP="003C0D60">
      <w:r>
        <w:t>„</w:t>
      </w:r>
      <w:r w:rsidRPr="002D69AD">
        <w:t xml:space="preserve">Oproti tomu je dobré vědět, že cizinci, kteří zde mají výdělečnou činnost (bez které je většina pobytů nemyslitelná), odvádějí </w:t>
      </w:r>
      <w:r>
        <w:t>………………………………………………………………</w:t>
      </w:r>
      <w:proofErr w:type="gramStart"/>
      <w:r>
        <w:t xml:space="preserve">….. </w:t>
      </w:r>
      <w:r w:rsidRPr="002D69AD">
        <w:t>zahrnující</w:t>
      </w:r>
      <w:proofErr w:type="gramEnd"/>
      <w:r w:rsidRPr="002D69AD">
        <w:t xml:space="preserve"> platby na důchodové pojištění, na nemocenské pojištění a příspěvek na státní politiku zaměstnanosti. Stejně jako u občanů ČR není po vyúčtování možné vrátit plátci přeplatek pod výší minimální zálohy (1836 Kč měsíčně, tzn. přes 22000 Kč ročně). Vzhledem k tomu, že toto se týká i cizinců bez trvalého pobytu, a těch, kteří nikdy nebudou uplatňovat</w:t>
      </w:r>
      <w:r>
        <w:t xml:space="preserve"> ………………………………………………………………</w:t>
      </w:r>
      <w:proofErr w:type="gramStart"/>
      <w:r>
        <w:t>…...,</w:t>
      </w:r>
      <w:r w:rsidRPr="002D69AD">
        <w:t xml:space="preserve"> zůstávají</w:t>
      </w:r>
      <w:proofErr w:type="gramEnd"/>
      <w:r w:rsidRPr="002D69AD">
        <w:t xml:space="preserve"> tyto prostředky v České republice. Mezinárodní smlouvy, které zajišťují sčítání dob pojištění a výplatu důchodu na území druhého </w:t>
      </w:r>
      <w:r w:rsidRPr="002D69AD">
        <w:lastRenderedPageBreak/>
        <w:t xml:space="preserve">státu, jsou uzavřeny jen s některými státy; </w:t>
      </w:r>
      <w:proofErr w:type="gramStart"/>
      <w:r w:rsidRPr="002D69AD">
        <w:t>t.č.</w:t>
      </w:r>
      <w:proofErr w:type="gramEnd"/>
      <w:r w:rsidRPr="002D69AD">
        <w:t xml:space="preserve"> není například mezinárodní smlouva mezi ČR a Ruskou federací a dalšími státy bývalého Sovětského svazu.</w:t>
      </w:r>
      <w:r>
        <w:t>“(7)</w:t>
      </w:r>
    </w:p>
    <w:p w:rsidR="003C0D60" w:rsidRPr="00D56AF0" w:rsidRDefault="003C0D60" w:rsidP="003C0D60">
      <w:r>
        <w:t>Podle odhadů úřadů práce, ministerstva vnitra a českého statistického úřadu může v ČR v roce 2015 legálně pracovat ………………………………………………………………</w:t>
      </w:r>
      <w:proofErr w:type="gramStart"/>
      <w:r>
        <w:t>….. (z celkového</w:t>
      </w:r>
      <w:proofErr w:type="gramEnd"/>
      <w:r>
        <w:t xml:space="preserve"> počtu zhruba 450 000 včetně dětí a důchodců), z toho kolem 137 000 ze zemí mimo EU (ti mohou pracovní místo získat až poté, co o něj 30 dnů neprojeví zájem žádný občan ČR nebo EU). 83 569 cizinců má od živnostenského úřadu oprávnění k podnikání.(8)</w:t>
      </w:r>
    </w:p>
    <w:p w:rsidR="001E3D0F" w:rsidRDefault="003C0D60" w:rsidP="003C0D60">
      <w:pPr>
        <w:tabs>
          <w:tab w:val="left" w:pos="1134"/>
          <w:tab w:val="left" w:pos="3828"/>
          <w:tab w:val="left" w:pos="7513"/>
        </w:tabs>
      </w:pPr>
      <w:r>
        <w:t>Nárok na udělení ………………………………………………………………</w:t>
      </w:r>
      <w:proofErr w:type="gramStart"/>
      <w:r>
        <w:t>….. nevzniká</w:t>
      </w:r>
      <w:proofErr w:type="gramEnd"/>
      <w:r>
        <w:t xml:space="preserve"> ani sňatkem s občanem ČR, ani narozením na území České republiky. O občanství může požádat cizinec, který se zde zdržuje alespoň 5 let a splní další podmínky – např. je bezúhonný, má uzavřený pracovní poměr, platí daně, prokáže znalost českého jazyka atd. Na české občanství není právní nárok, každá žádost je posuzována zvlášť.</w:t>
      </w:r>
      <w:r w:rsidR="001E3D0F">
        <w:tab/>
        <w:t xml:space="preserve"> </w:t>
      </w:r>
    </w:p>
    <w:p w:rsidR="003C0D60" w:rsidRPr="00F025E2" w:rsidRDefault="003C0D60" w:rsidP="003C0D60">
      <w:pPr>
        <w:tabs>
          <w:tab w:val="left" w:pos="1134"/>
          <w:tab w:val="left" w:pos="3828"/>
          <w:tab w:val="left" w:pos="7513"/>
        </w:tabs>
        <w:rPr>
          <w:vertAlign w:val="superscript"/>
        </w:rPr>
      </w:pPr>
    </w:p>
    <w:p w:rsidR="001E3D0F" w:rsidRDefault="007E3E74">
      <w:r>
        <w:rPr>
          <w:noProof/>
          <w:lang w:eastAsia="cs-CZ"/>
        </w:rPr>
        <w:drawing>
          <wp:inline distT="0" distB="0" distL="0" distR="0" wp14:anchorId="6BC22720" wp14:editId="6A0422A6">
            <wp:extent cx="5972175" cy="3067050"/>
            <wp:effectExtent l="0" t="0" r="9525" b="1905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3C0D60" w:rsidRPr="003C0D60" w:rsidRDefault="003C0D60">
      <w:pPr>
        <w:rPr>
          <w:sz w:val="18"/>
          <w:szCs w:val="18"/>
        </w:rPr>
      </w:pPr>
      <w:r w:rsidRPr="003C0D60">
        <w:rPr>
          <w:i/>
          <w:sz w:val="18"/>
          <w:szCs w:val="18"/>
        </w:rPr>
        <w:t>Zdroj: Statistická zpráva – žadatelé o azyl a azylanti, Ministerstvo vnitra ČR.</w:t>
      </w:r>
    </w:p>
    <w:p w:rsidR="00215B8B" w:rsidRDefault="00215B8B">
      <w:r>
        <w:rPr>
          <w:noProof/>
          <w:lang w:eastAsia="cs-CZ"/>
        </w:rPr>
        <w:drawing>
          <wp:inline distT="0" distB="0" distL="0" distR="0" wp14:anchorId="48CA2763" wp14:editId="4FCE3FD1">
            <wp:extent cx="5410200" cy="2638425"/>
            <wp:effectExtent l="0" t="0" r="0" b="9525"/>
            <wp:docPr id="1" name="obrázek 2" descr="Prichody Do 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chody Do AZ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4" b="17330"/>
                    <a:stretch/>
                  </pic:blipFill>
                  <pic:spPr bwMode="auto">
                    <a:xfrm>
                      <a:off x="0" y="0"/>
                      <a:ext cx="5409158" cy="263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5B8B" w:rsidRPr="003C0D60" w:rsidRDefault="003C0D60">
      <w:pPr>
        <w:rPr>
          <w:sz w:val="18"/>
          <w:szCs w:val="18"/>
        </w:rPr>
      </w:pPr>
      <w:r w:rsidRPr="003C0D60">
        <w:rPr>
          <w:i/>
          <w:sz w:val="18"/>
          <w:szCs w:val="18"/>
        </w:rPr>
        <w:t>Zdroj: Správa uprchlických zařízení Ministerstva vnitra ČR.</w:t>
      </w:r>
    </w:p>
    <w:sectPr w:rsidR="00215B8B" w:rsidRPr="003C0D60" w:rsidSect="007E3E7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483"/>
    <w:multiLevelType w:val="hybridMultilevel"/>
    <w:tmpl w:val="39DE8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94324"/>
    <w:multiLevelType w:val="hybridMultilevel"/>
    <w:tmpl w:val="5C6E8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F6"/>
    <w:rsid w:val="00047704"/>
    <w:rsid w:val="000A1F44"/>
    <w:rsid w:val="001E3D0F"/>
    <w:rsid w:val="00215B8B"/>
    <w:rsid w:val="003C0D60"/>
    <w:rsid w:val="004502F6"/>
    <w:rsid w:val="004A72B7"/>
    <w:rsid w:val="007E3E74"/>
    <w:rsid w:val="009735D9"/>
    <w:rsid w:val="00D921FC"/>
    <w:rsid w:val="00D9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2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02F6"/>
    <w:pPr>
      <w:ind w:left="720"/>
      <w:contextualSpacing/>
    </w:pPr>
  </w:style>
  <w:style w:type="table" w:styleId="Mkatabulky">
    <w:name w:val="Table Grid"/>
    <w:basedOn w:val="Normlntabulka"/>
    <w:uiPriority w:val="59"/>
    <w:rsid w:val="00450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2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02F6"/>
    <w:pPr>
      <w:ind w:left="720"/>
      <w:contextualSpacing/>
    </w:pPr>
  </w:style>
  <w:style w:type="table" w:styleId="Mkatabulky">
    <w:name w:val="Table Grid"/>
    <w:basedOn w:val="Normlntabulka"/>
    <w:uiPriority w:val="59"/>
    <w:rsid w:val="00450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Žadatelé o azyl a mezinárodní ochranu v ČR</a:t>
            </a:r>
          </a:p>
        </c:rich>
      </c:tx>
      <c:layout>
        <c:manualLayout>
          <c:xMode val="edge"/>
          <c:yMode val="edge"/>
          <c:x val="0.35154605674290712"/>
          <c:y val="3.10873518387425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7539412412158157E-2"/>
          <c:y val="3.8500290249844228E-2"/>
          <c:w val="0.885421822272216"/>
          <c:h val="0.83138192204327588"/>
        </c:manualLayout>
      </c:layout>
      <c:barChart>
        <c:barDir val="col"/>
        <c:grouping val="clustered"/>
        <c:varyColors val="0"/>
        <c:ser>
          <c:idx val="0"/>
          <c:order val="0"/>
          <c:tx>
            <c:v>počet žádostí o azyl</c:v>
          </c:tx>
          <c:invertIfNegative val="0"/>
          <c:cat>
            <c:numRef>
              <c:f>List1!$A$4:$A$28</c:f>
              <c:numCache>
                <c:formatCode>General</c:formatCode>
                <c:ptCount val="25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</c:numCache>
            </c:numRef>
          </c:cat>
          <c:val>
            <c:numRef>
              <c:f>List1!$B$4:$B$28</c:f>
              <c:numCache>
                <c:formatCode>General</c:formatCode>
                <c:ptCount val="25"/>
                <c:pt idx="0">
                  <c:v>1602</c:v>
                </c:pt>
                <c:pt idx="1">
                  <c:v>2226</c:v>
                </c:pt>
                <c:pt idx="2">
                  <c:v>841</c:v>
                </c:pt>
                <c:pt idx="3">
                  <c:v>2207</c:v>
                </c:pt>
                <c:pt idx="4">
                  <c:v>1187</c:v>
                </c:pt>
                <c:pt idx="5">
                  <c:v>1417</c:v>
                </c:pt>
                <c:pt idx="6">
                  <c:v>2211</c:v>
                </c:pt>
                <c:pt idx="7">
                  <c:v>2109</c:v>
                </c:pt>
                <c:pt idx="8">
                  <c:v>4085</c:v>
                </c:pt>
                <c:pt idx="9">
                  <c:v>7220</c:v>
                </c:pt>
                <c:pt idx="10">
                  <c:v>8788</c:v>
                </c:pt>
                <c:pt idx="11">
                  <c:v>18094</c:v>
                </c:pt>
                <c:pt idx="12">
                  <c:v>8484</c:v>
                </c:pt>
                <c:pt idx="13">
                  <c:v>11400</c:v>
                </c:pt>
                <c:pt idx="14">
                  <c:v>5459</c:v>
                </c:pt>
                <c:pt idx="15">
                  <c:v>4021</c:v>
                </c:pt>
                <c:pt idx="16">
                  <c:v>3016</c:v>
                </c:pt>
                <c:pt idx="17">
                  <c:v>1878</c:v>
                </c:pt>
                <c:pt idx="18">
                  <c:v>1656</c:v>
                </c:pt>
                <c:pt idx="19">
                  <c:v>1528</c:v>
                </c:pt>
                <c:pt idx="20">
                  <c:v>833</c:v>
                </c:pt>
                <c:pt idx="21">
                  <c:v>756</c:v>
                </c:pt>
                <c:pt idx="22">
                  <c:v>753</c:v>
                </c:pt>
                <c:pt idx="23">
                  <c:v>695</c:v>
                </c:pt>
                <c:pt idx="24">
                  <c:v>1145</c:v>
                </c:pt>
              </c:numCache>
            </c:numRef>
          </c:val>
        </c:ser>
        <c:ser>
          <c:idx val="1"/>
          <c:order val="1"/>
          <c:tx>
            <c:v>počet úspěšných žádostí</c:v>
          </c:tx>
          <c:invertIfNegative val="0"/>
          <c:cat>
            <c:numRef>
              <c:f>List1!$A$4:$A$28</c:f>
              <c:numCache>
                <c:formatCode>General</c:formatCode>
                <c:ptCount val="25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</c:numCache>
            </c:numRef>
          </c:cat>
          <c:val>
            <c:numRef>
              <c:f>List1!$C$4:$C$28</c:f>
              <c:numCache>
                <c:formatCode>General</c:formatCode>
                <c:ptCount val="25"/>
                <c:pt idx="0">
                  <c:v>30</c:v>
                </c:pt>
                <c:pt idx="1">
                  <c:v>776</c:v>
                </c:pt>
                <c:pt idx="2">
                  <c:v>251</c:v>
                </c:pt>
                <c:pt idx="3">
                  <c:v>250</c:v>
                </c:pt>
                <c:pt idx="4">
                  <c:v>116</c:v>
                </c:pt>
                <c:pt idx="5">
                  <c:v>59</c:v>
                </c:pt>
                <c:pt idx="6">
                  <c:v>162</c:v>
                </c:pt>
                <c:pt idx="7">
                  <c:v>96</c:v>
                </c:pt>
                <c:pt idx="8">
                  <c:v>78</c:v>
                </c:pt>
                <c:pt idx="9">
                  <c:v>79</c:v>
                </c:pt>
                <c:pt idx="10">
                  <c:v>133</c:v>
                </c:pt>
                <c:pt idx="11">
                  <c:v>83</c:v>
                </c:pt>
                <c:pt idx="12">
                  <c:v>103</c:v>
                </c:pt>
                <c:pt idx="13">
                  <c:v>208</c:v>
                </c:pt>
                <c:pt idx="14">
                  <c:v>142</c:v>
                </c:pt>
                <c:pt idx="15">
                  <c:v>251</c:v>
                </c:pt>
                <c:pt idx="16">
                  <c:v>305</c:v>
                </c:pt>
                <c:pt idx="17">
                  <c:v>382</c:v>
                </c:pt>
                <c:pt idx="18">
                  <c:v>289</c:v>
                </c:pt>
                <c:pt idx="19">
                  <c:v>103</c:v>
                </c:pt>
                <c:pt idx="20">
                  <c:v>229</c:v>
                </c:pt>
                <c:pt idx="21">
                  <c:v>383</c:v>
                </c:pt>
                <c:pt idx="22">
                  <c:v>198</c:v>
                </c:pt>
                <c:pt idx="23">
                  <c:v>358</c:v>
                </c:pt>
                <c:pt idx="24">
                  <c:v>376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overlap val="60"/>
        <c:axId val="73424256"/>
        <c:axId val="73430144"/>
      </c:barChart>
      <c:catAx>
        <c:axId val="73424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430144"/>
        <c:crosses val="autoZero"/>
        <c:auto val="1"/>
        <c:lblAlgn val="ctr"/>
        <c:lblOffset val="100"/>
        <c:tickLblSkip val="1"/>
        <c:noMultiLvlLbl val="0"/>
      </c:catAx>
      <c:valAx>
        <c:axId val="73430144"/>
        <c:scaling>
          <c:orientation val="minMax"/>
          <c:max val="20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424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843959696425504"/>
          <c:y val="0.28059177385435519"/>
          <c:w val="0.29208451884690884"/>
          <c:h val="9.2732907880659785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Maminka</cp:lastModifiedBy>
  <cp:revision>3</cp:revision>
  <dcterms:created xsi:type="dcterms:W3CDTF">2015-08-31T10:53:00Z</dcterms:created>
  <dcterms:modified xsi:type="dcterms:W3CDTF">2015-08-31T11:18:00Z</dcterms:modified>
</cp:coreProperties>
</file>